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NAVIGATING DISRUPTION IN THE UNKOWN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Disruption Can Be Used For Transformation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Create a sacred space in your home.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Change your language;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 get to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vs.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 have to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Practicing self-care.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Where are my feet? (a presence practice)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Regular acts of compassion - studies show that by helping others benefits our own well-being.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Breath Prayer -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 am the beloved child of God.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Over time the words move from my head to living in my heart. 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Lectio Divina - a way to pray with scripture.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Letting Go, The Jesus Prayer -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hands up, hands down.</w:t>
      </w:r>
      <w:r>
        <w:rPr>
          <w:sz w:val="28"/>
          <w:szCs w:val="28"/>
          <w:rtl w:val="0"/>
          <w:lang w:val="en-US"/>
        </w:rPr>
        <w:t xml:space="preserve">” 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Get Outside - nature is in complete contrast with the news. </w:t>
      </w:r>
    </w:p>
    <w:p>
      <w:pPr>
        <w:pStyle w:val="Body"/>
        <w:numPr>
          <w:ilvl w:val="0"/>
          <w:numId w:val="2"/>
        </w:numPr>
        <w:spacing w:line="680" w:lineRule="exac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Be on the lookout for moments of GRACE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write it down.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902305</wp:posOffset>
            </wp:positionH>
            <wp:positionV relativeFrom="line">
              <wp:posOffset>1077585</wp:posOffset>
            </wp:positionV>
            <wp:extent cx="4126290" cy="13754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-1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90" cy="1375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